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10F8" w14:textId="77777777" w:rsidR="00CE1323" w:rsidRPr="00792288" w:rsidRDefault="00CE1323" w:rsidP="00CE1323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4"/>
          <w:szCs w:val="20"/>
          <w:lang w:val="fr-FR"/>
        </w:rPr>
      </w:pPr>
      <w:r w:rsidRPr="00792288">
        <w:rPr>
          <w:rFonts w:ascii="Arial" w:eastAsia="Times New Roman" w:hAnsi="Arial" w:cs="Arial"/>
          <w:b/>
          <w:sz w:val="24"/>
          <w:szCs w:val="20"/>
          <w:lang w:val="fr-FR"/>
        </w:rPr>
        <w:t>Groupe de travail à composition non limitée</w:t>
      </w:r>
    </w:p>
    <w:p w14:paraId="6E84C3E5" w14:textId="77777777" w:rsidR="00CE1323" w:rsidRPr="00792288" w:rsidRDefault="00CE1323" w:rsidP="00CE13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fr-FR"/>
        </w:rPr>
      </w:pPr>
      <w:r w:rsidRPr="00792288">
        <w:rPr>
          <w:rFonts w:ascii="Arial" w:eastAsia="Times New Roman" w:hAnsi="Arial" w:cs="Arial"/>
          <w:b/>
          <w:sz w:val="24"/>
          <w:szCs w:val="20"/>
          <w:lang w:val="fr-FR"/>
        </w:rPr>
        <w:t>en relation avec la Décision 45 COM 11</w:t>
      </w:r>
    </w:p>
    <w:p w14:paraId="0E248054" w14:textId="77777777" w:rsidR="00E42A5C" w:rsidRPr="00792288" w:rsidRDefault="00E42A5C">
      <w:pPr>
        <w:rPr>
          <w:lang w:val="fr-FR"/>
        </w:rPr>
      </w:pPr>
    </w:p>
    <w:p w14:paraId="1EF954BA" w14:textId="22F219D8" w:rsidR="00CE1323" w:rsidRPr="00792288" w:rsidRDefault="00CE1323" w:rsidP="00CE1323">
      <w:pPr>
        <w:jc w:val="center"/>
        <w:rPr>
          <w:b/>
          <w:bCs/>
          <w:lang w:val="fr-FR"/>
        </w:rPr>
      </w:pPr>
      <w:r w:rsidRPr="00792288">
        <w:rPr>
          <w:b/>
          <w:bCs/>
          <w:lang w:val="fr-FR"/>
        </w:rPr>
        <w:t>Contribution écrite en vue de la troisième réunion du groupe de travail à composition non limitée</w:t>
      </w:r>
    </w:p>
    <w:p w14:paraId="66DB07A1" w14:textId="77777777" w:rsidR="00792288" w:rsidRDefault="00792288" w:rsidP="00CE1323">
      <w:pPr>
        <w:spacing w:line="256" w:lineRule="auto"/>
        <w:rPr>
          <w:b/>
          <w:bCs/>
          <w:lang w:val="fr-FR"/>
        </w:rPr>
      </w:pPr>
    </w:p>
    <w:p w14:paraId="121C99BD" w14:textId="48467388" w:rsidR="00CE1323" w:rsidRDefault="000D1B3C" w:rsidP="00CE1323">
      <w:pPr>
        <w:spacing w:line="256" w:lineRule="auto"/>
        <w:rPr>
          <w:b/>
          <w:bCs/>
          <w:lang w:val="fr-FR"/>
        </w:rPr>
      </w:pPr>
      <w:r>
        <w:rPr>
          <w:b/>
          <w:bCs/>
          <w:lang w:val="fr-FR"/>
        </w:rPr>
        <w:t>S</w:t>
      </w:r>
      <w:r w:rsidRPr="000D1B3C">
        <w:rPr>
          <w:b/>
          <w:bCs/>
          <w:lang w:val="fr-FR"/>
        </w:rPr>
        <w:t>oumis</w:t>
      </w:r>
      <w:r>
        <w:rPr>
          <w:b/>
          <w:bCs/>
          <w:lang w:val="fr-FR"/>
        </w:rPr>
        <w:t>e</w:t>
      </w:r>
      <w:r w:rsidRPr="000D1B3C">
        <w:rPr>
          <w:b/>
          <w:bCs/>
          <w:lang w:val="fr-FR"/>
        </w:rPr>
        <w:t xml:space="preserve"> par</w:t>
      </w:r>
      <w:r>
        <w:rPr>
          <w:b/>
          <w:bCs/>
          <w:lang w:val="fr-FR"/>
        </w:rPr>
        <w:t> :</w:t>
      </w:r>
      <w:r w:rsidRPr="000D1B3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(</w:t>
      </w:r>
      <w:r w:rsidR="00CE1323" w:rsidRPr="00792288">
        <w:rPr>
          <w:b/>
          <w:bCs/>
          <w:lang w:val="fr-FR"/>
        </w:rPr>
        <w:t>Etat Partie</w:t>
      </w:r>
      <w:r>
        <w:rPr>
          <w:b/>
          <w:bCs/>
          <w:lang w:val="fr-FR"/>
        </w:rPr>
        <w:t>)</w:t>
      </w:r>
    </w:p>
    <w:p w14:paraId="5C448E45" w14:textId="77777777" w:rsidR="00792288" w:rsidRPr="00792288" w:rsidRDefault="00792288" w:rsidP="00CE1323">
      <w:pPr>
        <w:spacing w:line="256" w:lineRule="auto"/>
        <w:rPr>
          <w:b/>
          <w:bCs/>
          <w:lang w:val="fr-FR"/>
        </w:rPr>
      </w:pPr>
    </w:p>
    <w:p w14:paraId="2DD74709" w14:textId="45BF3623" w:rsidR="00CE1323" w:rsidRPr="00792288" w:rsidRDefault="00CE1323" w:rsidP="00CE1323">
      <w:pPr>
        <w:spacing w:line="256" w:lineRule="auto"/>
        <w:jc w:val="both"/>
        <w:rPr>
          <w:lang w:val="fr-FR"/>
        </w:rPr>
      </w:pPr>
      <w:r w:rsidRPr="00792288">
        <w:rPr>
          <w:lang w:val="fr-FR"/>
        </w:rPr>
        <w:t>I. Envisager les améliorations nécessaires pour réduire l’écart de représentation des États parties sur la Liste du patrimoine mondial et améliorer l’équilibre de la Liste :</w:t>
      </w:r>
    </w:p>
    <w:p w14:paraId="3B1EE2A6" w14:textId="454144F4" w:rsidR="000D1B3C" w:rsidRDefault="000D1B3C" w:rsidP="000D1B3C">
      <w:pPr>
        <w:pStyle w:val="ListParagraph"/>
        <w:numPr>
          <w:ilvl w:val="0"/>
          <w:numId w:val="4"/>
        </w:numPr>
        <w:spacing w:line="256" w:lineRule="auto"/>
        <w:jc w:val="both"/>
      </w:pPr>
      <w:r w:rsidRPr="000D1B3C">
        <w:rPr>
          <w:i/>
          <w:iCs/>
        </w:rPr>
        <w:t xml:space="preserve">proposition </w:t>
      </w:r>
      <w:r>
        <w:t>…</w:t>
      </w:r>
    </w:p>
    <w:p w14:paraId="2AE9D100" w14:textId="2FA4BCF8" w:rsidR="000D1B3C" w:rsidRDefault="000D1B3C" w:rsidP="000D1B3C">
      <w:pPr>
        <w:pStyle w:val="ListParagraph"/>
        <w:numPr>
          <w:ilvl w:val="0"/>
          <w:numId w:val="4"/>
        </w:numPr>
        <w:spacing w:line="256" w:lineRule="auto"/>
        <w:jc w:val="both"/>
      </w:pPr>
      <w:r>
        <w:t>…</w:t>
      </w:r>
    </w:p>
    <w:p w14:paraId="36CCDD84" w14:textId="32180078" w:rsidR="00CE1323" w:rsidRPr="00792288" w:rsidRDefault="00CE1323" w:rsidP="00CE1323">
      <w:pPr>
        <w:spacing w:line="256" w:lineRule="auto"/>
        <w:jc w:val="both"/>
        <w:rPr>
          <w:lang w:val="fr-FR"/>
        </w:rPr>
      </w:pPr>
      <w:r w:rsidRPr="00792288">
        <w:rPr>
          <w:lang w:val="fr-FR"/>
        </w:rPr>
        <w:t>II. Proposer des solutions aux exigences de l’évaluation technique, y compris l’amélioration des activités de renforcement des capacités :</w:t>
      </w:r>
    </w:p>
    <w:p w14:paraId="3E733806" w14:textId="77777777" w:rsidR="002D3585" w:rsidRDefault="002D3585" w:rsidP="002D3585">
      <w:pPr>
        <w:pStyle w:val="ListParagraph"/>
        <w:numPr>
          <w:ilvl w:val="0"/>
          <w:numId w:val="4"/>
        </w:numPr>
        <w:spacing w:line="256" w:lineRule="auto"/>
        <w:jc w:val="both"/>
      </w:pPr>
      <w:r w:rsidRPr="000D1B3C">
        <w:rPr>
          <w:i/>
          <w:iCs/>
        </w:rPr>
        <w:t xml:space="preserve">proposition </w:t>
      </w:r>
      <w:r>
        <w:t>…</w:t>
      </w:r>
    </w:p>
    <w:p w14:paraId="6539104D" w14:textId="77777777" w:rsidR="002D3585" w:rsidRDefault="002D3585" w:rsidP="002D3585">
      <w:pPr>
        <w:pStyle w:val="ListParagraph"/>
        <w:numPr>
          <w:ilvl w:val="0"/>
          <w:numId w:val="4"/>
        </w:numPr>
        <w:spacing w:line="256" w:lineRule="auto"/>
        <w:jc w:val="both"/>
      </w:pPr>
      <w:r>
        <w:t>…</w:t>
      </w:r>
    </w:p>
    <w:p w14:paraId="6C5AE219" w14:textId="27E8CF71" w:rsidR="00CE1323" w:rsidRPr="00792288" w:rsidRDefault="00CE1323" w:rsidP="00CE1323">
      <w:pPr>
        <w:spacing w:line="256" w:lineRule="auto"/>
        <w:jc w:val="both"/>
        <w:rPr>
          <w:lang w:val="fr-FR"/>
        </w:rPr>
      </w:pPr>
      <w:r w:rsidRPr="00792288">
        <w:rPr>
          <w:lang w:val="fr-FR"/>
        </w:rPr>
        <w:t>III. Étudier la possibilité de faire appel à des prestataires de service supplémentaires :</w:t>
      </w:r>
    </w:p>
    <w:p w14:paraId="1CCA7F10" w14:textId="77777777" w:rsidR="002D3585" w:rsidRDefault="002D3585" w:rsidP="002D3585">
      <w:pPr>
        <w:pStyle w:val="ListParagraph"/>
        <w:numPr>
          <w:ilvl w:val="0"/>
          <w:numId w:val="4"/>
        </w:numPr>
        <w:spacing w:line="256" w:lineRule="auto"/>
        <w:jc w:val="both"/>
      </w:pPr>
      <w:r w:rsidRPr="000D1B3C">
        <w:rPr>
          <w:i/>
          <w:iCs/>
        </w:rPr>
        <w:t xml:space="preserve">proposition </w:t>
      </w:r>
      <w:r>
        <w:t>…</w:t>
      </w:r>
    </w:p>
    <w:p w14:paraId="1F7956D1" w14:textId="77777777" w:rsidR="002D3585" w:rsidRDefault="002D3585" w:rsidP="002D3585">
      <w:pPr>
        <w:pStyle w:val="ListParagraph"/>
        <w:numPr>
          <w:ilvl w:val="0"/>
          <w:numId w:val="4"/>
        </w:numPr>
        <w:spacing w:line="256" w:lineRule="auto"/>
        <w:jc w:val="both"/>
      </w:pPr>
      <w:r>
        <w:t>…</w:t>
      </w:r>
    </w:p>
    <w:p w14:paraId="75A0CE6B" w14:textId="71C27E8A" w:rsidR="00CE1323" w:rsidRPr="00792288" w:rsidRDefault="00CE1323" w:rsidP="00CE1323">
      <w:pPr>
        <w:spacing w:line="256" w:lineRule="auto"/>
        <w:jc w:val="both"/>
        <w:rPr>
          <w:lang w:val="fr-FR"/>
        </w:rPr>
      </w:pPr>
      <w:r w:rsidRPr="00792288">
        <w:rPr>
          <w:lang w:val="fr-FR"/>
        </w:rPr>
        <w:t>IV.</w:t>
      </w:r>
      <w:r w:rsidR="00792288">
        <w:rPr>
          <w:lang w:val="fr-FR"/>
        </w:rPr>
        <w:t xml:space="preserve"> </w:t>
      </w:r>
      <w:r w:rsidRPr="00CE1323">
        <w:rPr>
          <w:lang w:val="fr-FR"/>
        </w:rPr>
        <w:t>Proposer des solutions durables aux exigences financières du processus de proposition d’inscription pour mettre en œuvre ce qui précède, y compris l’analyse préliminaire </w:t>
      </w:r>
      <w:r w:rsidRPr="00792288">
        <w:rPr>
          <w:lang w:val="fr-FR"/>
        </w:rPr>
        <w:t>:</w:t>
      </w:r>
    </w:p>
    <w:p w14:paraId="781BF244" w14:textId="77777777" w:rsidR="002D3585" w:rsidRDefault="002D3585" w:rsidP="002D3585">
      <w:pPr>
        <w:pStyle w:val="ListParagraph"/>
        <w:numPr>
          <w:ilvl w:val="0"/>
          <w:numId w:val="4"/>
        </w:numPr>
        <w:spacing w:line="256" w:lineRule="auto"/>
        <w:jc w:val="both"/>
      </w:pPr>
      <w:r w:rsidRPr="000D1B3C">
        <w:rPr>
          <w:i/>
          <w:iCs/>
        </w:rPr>
        <w:t xml:space="preserve">proposition </w:t>
      </w:r>
      <w:r>
        <w:t>…</w:t>
      </w:r>
    </w:p>
    <w:p w14:paraId="38229E11" w14:textId="354E5417" w:rsidR="00B2502A" w:rsidRDefault="00B2502A" w:rsidP="002D3585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i/>
          <w:iCs/>
        </w:rPr>
        <w:t>…</w:t>
      </w:r>
    </w:p>
    <w:p w14:paraId="351BCA18" w14:textId="65152689" w:rsidR="00CE1323" w:rsidRPr="00CE1323" w:rsidRDefault="00CE1323" w:rsidP="00CE1323">
      <w:pPr>
        <w:spacing w:line="256" w:lineRule="auto"/>
        <w:jc w:val="both"/>
        <w:rPr>
          <w:lang w:val="fr-FR"/>
        </w:rPr>
      </w:pPr>
      <w:r w:rsidRPr="00792288">
        <w:rPr>
          <w:lang w:val="fr-FR"/>
        </w:rPr>
        <w:t xml:space="preserve">V. </w:t>
      </w:r>
      <w:r w:rsidRPr="00CE1323">
        <w:rPr>
          <w:lang w:val="fr-FR"/>
        </w:rPr>
        <w:t>Considérer le mandat et les méthodes de travail pour une extension de ce groupe de travail à composition non limitée, afin de lancer une réflexion fondamentale sur le fonctionnement de la Convention du patrimoine mondial </w:t>
      </w:r>
      <w:r w:rsidRPr="00792288">
        <w:rPr>
          <w:lang w:val="fr-FR"/>
        </w:rPr>
        <w:t>:</w:t>
      </w:r>
    </w:p>
    <w:p w14:paraId="18DDFDBB" w14:textId="40B78DC6" w:rsidR="00CE1323" w:rsidRDefault="000D1B3C" w:rsidP="002D3585">
      <w:pPr>
        <w:pStyle w:val="ListParagraph"/>
        <w:numPr>
          <w:ilvl w:val="0"/>
          <w:numId w:val="4"/>
        </w:numPr>
        <w:spacing w:line="256" w:lineRule="auto"/>
        <w:jc w:val="both"/>
        <w:rPr>
          <w:i/>
          <w:iCs/>
        </w:rPr>
      </w:pPr>
      <w:r w:rsidRPr="000D1B3C">
        <w:rPr>
          <w:i/>
          <w:iCs/>
        </w:rPr>
        <w:t xml:space="preserve">proposition </w:t>
      </w:r>
      <w:r w:rsidR="002D3585">
        <w:rPr>
          <w:i/>
          <w:iCs/>
        </w:rPr>
        <w:t>..</w:t>
      </w:r>
      <w:r w:rsidRPr="000D1B3C">
        <w:rPr>
          <w:i/>
          <w:iCs/>
        </w:rPr>
        <w:t>.</w:t>
      </w:r>
    </w:p>
    <w:p w14:paraId="32E64134" w14:textId="7CBF3525" w:rsidR="00B2502A" w:rsidRPr="002D3585" w:rsidRDefault="00B2502A" w:rsidP="002D3585">
      <w:pPr>
        <w:pStyle w:val="ListParagraph"/>
        <w:numPr>
          <w:ilvl w:val="0"/>
          <w:numId w:val="4"/>
        </w:numPr>
        <w:spacing w:line="256" w:lineRule="auto"/>
        <w:jc w:val="both"/>
        <w:rPr>
          <w:i/>
          <w:iCs/>
        </w:rPr>
      </w:pPr>
      <w:r>
        <w:rPr>
          <w:i/>
          <w:iCs/>
        </w:rPr>
        <w:t>…</w:t>
      </w:r>
    </w:p>
    <w:sectPr w:rsidR="00B2502A" w:rsidRPr="002D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FFE6" w14:textId="77777777" w:rsidR="000D1B3C" w:rsidRDefault="000D1B3C" w:rsidP="000D1B3C">
      <w:pPr>
        <w:spacing w:after="0" w:line="240" w:lineRule="auto"/>
      </w:pPr>
      <w:r>
        <w:separator/>
      </w:r>
    </w:p>
  </w:endnote>
  <w:endnote w:type="continuationSeparator" w:id="0">
    <w:p w14:paraId="7CB47B57" w14:textId="77777777" w:rsidR="000D1B3C" w:rsidRDefault="000D1B3C" w:rsidP="000D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40B2" w14:textId="77777777" w:rsidR="000D1B3C" w:rsidRDefault="000D1B3C" w:rsidP="000D1B3C">
      <w:pPr>
        <w:spacing w:after="0" w:line="240" w:lineRule="auto"/>
      </w:pPr>
      <w:r>
        <w:separator/>
      </w:r>
    </w:p>
  </w:footnote>
  <w:footnote w:type="continuationSeparator" w:id="0">
    <w:p w14:paraId="0E954672" w14:textId="77777777" w:rsidR="000D1B3C" w:rsidRDefault="000D1B3C" w:rsidP="000D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98E"/>
    <w:multiLevelType w:val="multilevel"/>
    <w:tmpl w:val="531E41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85543"/>
    <w:multiLevelType w:val="multilevel"/>
    <w:tmpl w:val="808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059B8"/>
    <w:multiLevelType w:val="multilevel"/>
    <w:tmpl w:val="DEAE71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A3371"/>
    <w:multiLevelType w:val="hybridMultilevel"/>
    <w:tmpl w:val="3CCE1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iCs w:val="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10589">
    <w:abstractNumId w:val="1"/>
  </w:num>
  <w:num w:numId="2" w16cid:durableId="734396708">
    <w:abstractNumId w:val="2"/>
  </w:num>
  <w:num w:numId="3" w16cid:durableId="303127049">
    <w:abstractNumId w:val="0"/>
  </w:num>
  <w:num w:numId="4" w16cid:durableId="85487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23"/>
    <w:rsid w:val="000008FF"/>
    <w:rsid w:val="000D1B3C"/>
    <w:rsid w:val="002D3585"/>
    <w:rsid w:val="003F16F2"/>
    <w:rsid w:val="00486790"/>
    <w:rsid w:val="00792288"/>
    <w:rsid w:val="00857BE0"/>
    <w:rsid w:val="00B2502A"/>
    <w:rsid w:val="00CE1323"/>
    <w:rsid w:val="00E42A5C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E781D"/>
  <w15:chartTrackingRefBased/>
  <w15:docId w15:val="{97F6B0C3-07CF-47F9-A2EF-D96A6C56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23"/>
    <w:rPr>
      <w:rFonts w:eastAsiaTheme="minorHAnsi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3C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3C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WHC</dc:creator>
  <cp:keywords/>
  <dc:description/>
  <cp:lastModifiedBy>WHC</cp:lastModifiedBy>
  <cp:revision>4</cp:revision>
  <dcterms:created xsi:type="dcterms:W3CDTF">2024-04-29T10:21:00Z</dcterms:created>
  <dcterms:modified xsi:type="dcterms:W3CDTF">2024-04-29T15:46:00Z</dcterms:modified>
</cp:coreProperties>
</file>