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658C" w14:textId="11DE0057" w:rsidR="00CE069D" w:rsidRDefault="00D0402B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58. The IPCC defines mitigation as “</w:t>
      </w:r>
      <w:r>
        <w:rPr>
          <w:rFonts w:ascii="Arial-ItalicMT" w:hAnsi="Arial-ItalicMT" w:cs="Arial-ItalicMT"/>
          <w:i/>
          <w:iCs/>
          <w:color w:val="000000"/>
        </w:rPr>
        <w:t>a human intervention to reduce emissions or enhance</w:t>
      </w:r>
      <w:r w:rsidR="00B17CB6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the sinks of greenhouse gases.</w:t>
      </w:r>
      <w:r>
        <w:rPr>
          <w:rFonts w:ascii="ArialMT" w:hAnsi="ArialMT" w:cs="ArialMT"/>
          <w:color w:val="000000"/>
        </w:rPr>
        <w:t>”</w:t>
      </w:r>
      <w:r>
        <w:rPr>
          <w:rFonts w:ascii="ArialMT" w:hAnsi="ArialMT" w:cs="ArialMT"/>
          <w:color w:val="000000"/>
          <w:sz w:val="14"/>
          <w:szCs w:val="14"/>
        </w:rPr>
        <w:t xml:space="preserve">6. </w:t>
      </w:r>
      <w:r>
        <w:rPr>
          <w:rFonts w:ascii="Arial-BoldMT" w:hAnsi="Arial-BoldMT" w:cs="Arial-BoldMT"/>
          <w:b/>
          <w:bCs/>
          <w:color w:val="0000FF"/>
        </w:rPr>
        <w:t xml:space="preserve">[Saudi </w:t>
      </w:r>
      <w:proofErr w:type="gramStart"/>
      <w:r>
        <w:rPr>
          <w:rFonts w:ascii="Arial-BoldMT" w:hAnsi="Arial-BoldMT" w:cs="Arial-BoldMT"/>
          <w:b/>
          <w:bCs/>
          <w:color w:val="0000FF"/>
        </w:rPr>
        <w:t>Arabia]</w:t>
      </w:r>
      <w:r>
        <w:rPr>
          <w:rFonts w:ascii="ArialMT" w:hAnsi="ArialMT" w:cs="ArialMT"/>
          <w:color w:val="FF0000"/>
        </w:rPr>
        <w:t>IPCC</w:t>
      </w:r>
      <w:proofErr w:type="gramEnd"/>
      <w:r>
        <w:rPr>
          <w:rFonts w:ascii="ArialMT" w:hAnsi="ArialMT" w:cs="ArialMT"/>
          <w:color w:val="FF0000"/>
        </w:rPr>
        <w:t>´s reports, and most notably the</w:t>
      </w:r>
      <w:r w:rsidR="00B17CB6">
        <w:rPr>
          <w:rFonts w:ascii="ArialMT" w:hAnsi="ArialMT" w:cs="ArialMT"/>
          <w:color w:val="FF0000"/>
        </w:rPr>
        <w:t xml:space="preserve"> </w:t>
      </w:r>
      <w:r>
        <w:rPr>
          <w:rFonts w:ascii="ArialMT" w:hAnsi="ArialMT" w:cs="ArialMT"/>
          <w:color w:val="FF0000"/>
        </w:rPr>
        <w:t>1.5°C Special Report (2018), makes clear that limiting global warming to 1.5°C would</w:t>
      </w:r>
      <w:r w:rsidR="00B17CB6">
        <w:rPr>
          <w:rFonts w:ascii="ArialMT" w:hAnsi="ArialMT" w:cs="ArialMT"/>
          <w:color w:val="FF0000"/>
        </w:rPr>
        <w:t xml:space="preserve"> </w:t>
      </w:r>
      <w:r>
        <w:rPr>
          <w:rFonts w:ascii="ArialMT" w:hAnsi="ArialMT" w:cs="ArialMT"/>
          <w:color w:val="FF0000"/>
        </w:rPr>
        <w:t>require rapid and far-reaching transitions in the global economy, with deep emissions</w:t>
      </w:r>
      <w:r w:rsidR="00B17CB6">
        <w:rPr>
          <w:rFonts w:ascii="ArialMT" w:hAnsi="ArialMT" w:cs="ArialMT"/>
          <w:color w:val="FF0000"/>
        </w:rPr>
        <w:t xml:space="preserve"> </w:t>
      </w:r>
      <w:r>
        <w:rPr>
          <w:rFonts w:ascii="ArialMT" w:hAnsi="ArialMT" w:cs="ArialMT"/>
          <w:color w:val="FF0000"/>
        </w:rPr>
        <w:t>reductions in all sectors, a wide portfolio of mitigation options and a significant upscaling</w:t>
      </w:r>
      <w:r w:rsidR="00B17CB6">
        <w:rPr>
          <w:rFonts w:ascii="ArialMT" w:hAnsi="ArialMT" w:cs="ArialMT"/>
          <w:color w:val="FF0000"/>
        </w:rPr>
        <w:t xml:space="preserve"> </w:t>
      </w:r>
      <w:r>
        <w:rPr>
          <w:rFonts w:ascii="ArialMT" w:hAnsi="ArialMT" w:cs="ArialMT"/>
          <w:color w:val="FF0000"/>
        </w:rPr>
        <w:t xml:space="preserve">of investments in those options. </w:t>
      </w:r>
      <w:r>
        <w:rPr>
          <w:rFonts w:ascii="ArialMT" w:hAnsi="ArialMT" w:cs="ArialMT"/>
          <w:color w:val="000000"/>
        </w:rPr>
        <w:t>Within this context, this Policy Document encourages</w:t>
      </w:r>
      <w:r w:rsidR="00B17CB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States Parties to the Convention to aim for a transition towards </w:t>
      </w:r>
      <w:r>
        <w:rPr>
          <w:rFonts w:ascii="Arial-BoldMT" w:hAnsi="Arial-BoldMT" w:cs="Arial-BoldMT"/>
          <w:b/>
          <w:bCs/>
          <w:color w:val="0000FF"/>
        </w:rPr>
        <w:t xml:space="preserve">[Saudi </w:t>
      </w:r>
      <w:proofErr w:type="gramStart"/>
      <w:r>
        <w:rPr>
          <w:rFonts w:ascii="Arial-BoldMT" w:hAnsi="Arial-BoldMT" w:cs="Arial-BoldMT"/>
          <w:b/>
          <w:bCs/>
          <w:color w:val="0000FF"/>
        </w:rPr>
        <w:t>Arabia]</w:t>
      </w:r>
      <w:proofErr w:type="spellStart"/>
      <w:r>
        <w:rPr>
          <w:rFonts w:ascii="ArialMT" w:hAnsi="ArialMT" w:cs="ArialMT"/>
          <w:color w:val="000000"/>
        </w:rPr>
        <w:t>low</w:t>
      </w:r>
      <w:r>
        <w:rPr>
          <w:rFonts w:ascii="ArialMT" w:hAnsi="ArialMT" w:cs="ArialMT"/>
          <w:color w:val="FF0000"/>
        </w:rPr>
        <w:t>carbon</w:t>
      </w:r>
      <w:r>
        <w:rPr>
          <w:rFonts w:ascii="Arial-BoldMT" w:hAnsi="Arial-BoldMT" w:cs="Arial-BoldMT"/>
          <w:b/>
          <w:bCs/>
          <w:color w:val="0000FF"/>
        </w:rPr>
        <w:t>emissions</w:t>
      </w:r>
      <w:proofErr w:type="spellEnd"/>
      <w:proofErr w:type="gramEnd"/>
      <w:r w:rsidR="00B17CB6">
        <w:rPr>
          <w:rFonts w:ascii="Arial-BoldMT" w:hAnsi="Arial-BoldMT" w:cs="Arial-BoldMT"/>
          <w:b/>
          <w:bCs/>
          <w:color w:val="0000FF"/>
        </w:rPr>
        <w:t xml:space="preserve"> </w:t>
      </w:r>
      <w:r>
        <w:rPr>
          <w:rFonts w:ascii="ArialMT" w:hAnsi="ArialMT" w:cs="ArialMT"/>
          <w:color w:val="000000"/>
        </w:rPr>
        <w:t>alternatives for World Heritage properties management as soon as</w:t>
      </w:r>
      <w:r w:rsidR="00B17CB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possible, in </w:t>
      </w:r>
      <w:r>
        <w:rPr>
          <w:rFonts w:ascii="Arial-BoldMT" w:hAnsi="Arial-BoldMT" w:cs="Arial-BoldMT"/>
          <w:b/>
          <w:bCs/>
          <w:color w:val="0000FF"/>
        </w:rPr>
        <w:t xml:space="preserve">[Japan] </w:t>
      </w:r>
      <w:r>
        <w:rPr>
          <w:rFonts w:ascii="ArialMT" w:hAnsi="ArialMT" w:cs="ArialMT"/>
          <w:color w:val="FF0000"/>
        </w:rPr>
        <w:t xml:space="preserve">accordance </w:t>
      </w:r>
      <w:r>
        <w:rPr>
          <w:rFonts w:ascii="Arial-BoldMT" w:hAnsi="Arial-BoldMT" w:cs="Arial-BoldMT"/>
          <w:b/>
          <w:bCs/>
          <w:color w:val="0000FF"/>
        </w:rPr>
        <w:t xml:space="preserve">line </w:t>
      </w:r>
      <w:r>
        <w:rPr>
          <w:rFonts w:ascii="ArialMT" w:hAnsi="ArialMT" w:cs="ArialMT"/>
          <w:color w:val="000000"/>
        </w:rPr>
        <w:t>with the</w:t>
      </w:r>
      <w:r w:rsidRPr="00226523">
        <w:rPr>
          <w:rFonts w:ascii="ArialMT" w:hAnsi="ArialMT" w:cs="ArialMT"/>
          <w:color w:val="000000"/>
        </w:rPr>
        <w:t xml:space="preserve"> </w:t>
      </w:r>
      <w:r w:rsidR="00B17CB6" w:rsidRPr="00B17CB6">
        <w:rPr>
          <w:rFonts w:ascii="ArialMT" w:hAnsi="ArialMT" w:cs="ArialMT"/>
          <w:b/>
          <w:bCs/>
          <w:color w:val="7030A0"/>
        </w:rPr>
        <w:t>[Australia]</w:t>
      </w:r>
      <w:r w:rsidR="00B17CB6" w:rsidRPr="00B17CB6">
        <w:rPr>
          <w:rFonts w:ascii="ArialMT" w:hAnsi="ArialMT" w:cs="ArialMT"/>
          <w:color w:val="7030A0"/>
        </w:rPr>
        <w:t xml:space="preserve"> </w:t>
      </w:r>
      <w:r w:rsidR="00226523" w:rsidRPr="00226523">
        <w:rPr>
          <w:rFonts w:ascii="ArialMT" w:hAnsi="ArialMT" w:cs="ArialMT"/>
          <w:b/>
          <w:bCs/>
          <w:color w:val="7030A0"/>
        </w:rPr>
        <w:t>Paris Agreement</w:t>
      </w:r>
      <w:r w:rsidR="00226523">
        <w:rPr>
          <w:rFonts w:ascii="ArialMT" w:hAnsi="ArialMT" w:cs="ArialMT"/>
          <w:color w:val="7030A0"/>
        </w:rPr>
        <w:t xml:space="preserve">. </w:t>
      </w:r>
      <w:r w:rsidRPr="00226523">
        <w:rPr>
          <w:rFonts w:ascii="ArialMT" w:hAnsi="ArialMT" w:cs="ArialMT"/>
          <w:strike/>
          <w:color w:val="000000"/>
        </w:rPr>
        <w:t>equity and the principle of common but</w:t>
      </w:r>
      <w:r w:rsidR="00B17CB6">
        <w:rPr>
          <w:rFonts w:ascii="ArialMT" w:hAnsi="ArialMT" w:cs="ArialMT"/>
          <w:strike/>
          <w:color w:val="000000"/>
        </w:rPr>
        <w:t xml:space="preserve"> </w:t>
      </w:r>
      <w:r w:rsidRPr="00226523">
        <w:rPr>
          <w:rFonts w:ascii="ArialMT" w:hAnsi="ArialMT" w:cs="ArialMT"/>
          <w:strike/>
          <w:color w:val="000000"/>
        </w:rPr>
        <w:t>differentiated responsibilities and respective capabilities, in the light of different national</w:t>
      </w:r>
      <w:r w:rsidR="00B17CB6">
        <w:rPr>
          <w:rFonts w:ascii="ArialMT" w:hAnsi="ArialMT" w:cs="ArialMT"/>
          <w:strike/>
          <w:color w:val="000000"/>
        </w:rPr>
        <w:t xml:space="preserve"> </w:t>
      </w:r>
      <w:r w:rsidRPr="00226523">
        <w:rPr>
          <w:rFonts w:ascii="ArialMT" w:hAnsi="ArialMT" w:cs="ArialMT"/>
          <w:strike/>
          <w:color w:val="000000"/>
        </w:rPr>
        <w:t>circumstances.</w:t>
      </w:r>
    </w:p>
    <w:p w14:paraId="732523FD" w14:textId="44C9FB20" w:rsidR="00D0402B" w:rsidRDefault="00D0402B" w:rsidP="00D040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9E2DFB1" w14:textId="34C82927" w:rsidR="00D0402B" w:rsidRDefault="00D0402B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94. Implementation of climate actions related to World Heritage Climate Action Goal 3</w:t>
      </w:r>
      <w:r w:rsidR="00B17CB6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(Mitigation) (see Section </w:t>
      </w:r>
      <w:proofErr w:type="spellStart"/>
      <w:r>
        <w:rPr>
          <w:rFonts w:ascii="ArialMT" w:hAnsi="ArialMT" w:cs="ArialMT"/>
        </w:rPr>
        <w:t>II.B</w:t>
      </w:r>
      <w:proofErr w:type="spellEnd"/>
      <w:r>
        <w:rPr>
          <w:rFonts w:ascii="ArialMT" w:hAnsi="ArialMT" w:cs="ArialMT"/>
        </w:rPr>
        <w:t xml:space="preserve"> above) at the national level could be supported by:</w:t>
      </w:r>
    </w:p>
    <w:p w14:paraId="13B3DC2F" w14:textId="044F694F" w:rsidR="00D0402B" w:rsidRDefault="00D0402B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</w:rPr>
      </w:pPr>
      <w:r>
        <w:rPr>
          <w:rFonts w:ascii="SymbolMT" w:eastAsia="SymbolMT" w:hAnsi="ArialMT" w:cs="SymbolMT" w:hint="eastAsia"/>
        </w:rPr>
        <w:t>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Implementing precautionary approaches that pursue pathways that contribute to</w:t>
      </w:r>
      <w:r w:rsidR="00B17CB6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limiting global warming to 1.5°C, with no or limited overshoot </w:t>
      </w:r>
      <w:proofErr w:type="gramStart"/>
      <w:r>
        <w:rPr>
          <w:rFonts w:ascii="ArialMT" w:hAnsi="ArialMT" w:cs="ArialMT"/>
        </w:rPr>
        <w:t>in light of</w:t>
      </w:r>
      <w:proofErr w:type="gramEnd"/>
      <w:r>
        <w:rPr>
          <w:rFonts w:ascii="ArialMT" w:hAnsi="ArialMT" w:cs="ArialMT"/>
        </w:rPr>
        <w:t xml:space="preserve"> </w:t>
      </w:r>
      <w:r w:rsidRPr="00226523">
        <w:rPr>
          <w:rFonts w:ascii="ArialMT" w:hAnsi="ArialMT" w:cs="ArialMT"/>
        </w:rPr>
        <w:t>the</w:t>
      </w:r>
      <w:r w:rsidR="00226523">
        <w:rPr>
          <w:rFonts w:ascii="ArialMT" w:hAnsi="ArialMT" w:cs="ArialMT"/>
        </w:rPr>
        <w:t xml:space="preserve"> </w:t>
      </w:r>
      <w:r w:rsidR="00B17CB6" w:rsidRPr="00B17CB6">
        <w:rPr>
          <w:rFonts w:ascii="ArialMT" w:hAnsi="ArialMT" w:cs="ArialMT"/>
          <w:b/>
          <w:bCs/>
          <w:color w:val="7030A0"/>
        </w:rPr>
        <w:t>[Australia]</w:t>
      </w:r>
      <w:r w:rsidR="00B17CB6" w:rsidRPr="00B17CB6">
        <w:rPr>
          <w:rFonts w:ascii="ArialMT" w:hAnsi="ArialMT" w:cs="ArialMT"/>
          <w:color w:val="7030A0"/>
        </w:rPr>
        <w:t xml:space="preserve"> </w:t>
      </w:r>
      <w:r w:rsidR="00226523" w:rsidRPr="00226523">
        <w:rPr>
          <w:rFonts w:ascii="ArialMT" w:hAnsi="ArialMT" w:cs="ArialMT"/>
          <w:b/>
          <w:bCs/>
          <w:color w:val="7030A0"/>
        </w:rPr>
        <w:t>Paris Agreement</w:t>
      </w:r>
      <w:r w:rsidR="00226523">
        <w:rPr>
          <w:rFonts w:ascii="ArialMT" w:hAnsi="ArialMT" w:cs="ArialMT"/>
          <w:color w:val="7030A0"/>
        </w:rPr>
        <w:t>.</w:t>
      </w:r>
      <w:r w:rsidRPr="00226523">
        <w:rPr>
          <w:rFonts w:ascii="ArialMT" w:hAnsi="ArialMT" w:cs="ArialMT"/>
        </w:rPr>
        <w:t xml:space="preserve"> </w:t>
      </w:r>
      <w:proofErr w:type="spellStart"/>
      <w:r w:rsidRPr="00226523">
        <w:rPr>
          <w:rFonts w:ascii="ArialMT" w:hAnsi="ArialMT" w:cs="ArialMT"/>
          <w:strike/>
        </w:rPr>
        <w:t>CBDRRC</w:t>
      </w:r>
      <w:proofErr w:type="spellEnd"/>
      <w:r w:rsidR="00B17CB6">
        <w:rPr>
          <w:rFonts w:ascii="ArialMT" w:hAnsi="ArialMT" w:cs="ArialMT"/>
          <w:strike/>
        </w:rPr>
        <w:t xml:space="preserve"> </w:t>
      </w:r>
      <w:proofErr w:type="gramStart"/>
      <w:r w:rsidRPr="00226523">
        <w:rPr>
          <w:rFonts w:ascii="ArialMT" w:hAnsi="ArialMT" w:cs="ArialMT"/>
          <w:strike/>
        </w:rPr>
        <w:t>principle;</w:t>
      </w:r>
      <w:proofErr w:type="gramEnd"/>
    </w:p>
    <w:p w14:paraId="2B2D8877" w14:textId="77777777" w:rsidR="00B17CB6" w:rsidRPr="00226523" w:rsidRDefault="00B17CB6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</w:rPr>
      </w:pPr>
    </w:p>
    <w:p w14:paraId="56B7632B" w14:textId="103D22A1" w:rsidR="00D0402B" w:rsidRDefault="00D0402B" w:rsidP="00D040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466287D" w14:textId="6FF24FE5" w:rsidR="00D0402B" w:rsidRDefault="00D0402B" w:rsidP="00D040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ANNEX 1- GLOSSARY</w:t>
      </w:r>
    </w:p>
    <w:p w14:paraId="3DEFEBE5" w14:textId="1ED0BC1B" w:rsidR="00D0402B" w:rsidRDefault="00D0402B" w:rsidP="00D040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</w:rPr>
      </w:pPr>
    </w:p>
    <w:p w14:paraId="68547D04" w14:textId="037772D0" w:rsidR="00D0402B" w:rsidRPr="00226523" w:rsidRDefault="00B17CB6" w:rsidP="00D0402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trike/>
        </w:rPr>
      </w:pPr>
      <w:r w:rsidRPr="00B17CB6">
        <w:rPr>
          <w:rFonts w:ascii="ArialMT" w:hAnsi="ArialMT" w:cs="ArialMT"/>
          <w:b/>
          <w:bCs/>
          <w:color w:val="7030A0"/>
        </w:rPr>
        <w:t>[Australia]</w:t>
      </w:r>
      <w:r w:rsidRPr="00B17CB6">
        <w:rPr>
          <w:rFonts w:ascii="ArialMT" w:hAnsi="ArialMT" w:cs="ArialMT"/>
          <w:color w:val="7030A0"/>
        </w:rPr>
        <w:t xml:space="preserve"> </w:t>
      </w:r>
      <w:r w:rsidR="00D0402B" w:rsidRPr="00226523">
        <w:rPr>
          <w:rFonts w:ascii="Arial-BoldMT" w:hAnsi="Arial-BoldMT" w:cs="Arial-BoldMT"/>
          <w:b/>
          <w:bCs/>
          <w:strike/>
        </w:rPr>
        <w:t>Common but Differentiated Responsibilities and Respective Capabilities (CBDR-RC):</w:t>
      </w:r>
    </w:p>
    <w:p w14:paraId="48CD139A" w14:textId="7587B6F7" w:rsidR="00D0402B" w:rsidRDefault="00D0402B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</w:rPr>
      </w:pPr>
      <w:r w:rsidRPr="00226523">
        <w:rPr>
          <w:rFonts w:ascii="ArialMT" w:hAnsi="ArialMT" w:cs="ArialMT"/>
          <w:strike/>
        </w:rPr>
        <w:t>“Common but Differentiated Responsibilities and Respective Capabilities (</w:t>
      </w:r>
      <w:proofErr w:type="spellStart"/>
      <w:r w:rsidRPr="00226523">
        <w:rPr>
          <w:rFonts w:ascii="ArialMT" w:hAnsi="ArialMT" w:cs="ArialMT"/>
          <w:strike/>
        </w:rPr>
        <w:t>CBDR</w:t>
      </w:r>
      <w:proofErr w:type="spellEnd"/>
      <w:r w:rsidRPr="00226523">
        <w:rPr>
          <w:rFonts w:ascii="ArialMT" w:hAnsi="ArialMT" w:cs="ArialMT"/>
          <w:strike/>
        </w:rPr>
        <w:t>–RC) is a key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principle in the United Nations Framework Convention on Climate Change (UNFCCC) that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recognises the different capabilities and differing responsibilities of individual countries in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tacking climate change. The principle of CBDR– RC is embedded in the 1992 UNFCCC treaty.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The convention states: “… the global nature of climate change calls for the widest possible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cooperation by all countries and their participation in an effective and appropriate international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response, in accordance with their common but differentiated responsibilities and respective</w:t>
      </w:r>
      <w:r w:rsidR="00B17CB6">
        <w:rPr>
          <w:rFonts w:ascii="ArialMT" w:hAnsi="ArialMT" w:cs="ArialMT"/>
          <w:strike/>
        </w:rPr>
        <w:t xml:space="preserve"> </w:t>
      </w:r>
      <w:r w:rsidRPr="00226523">
        <w:rPr>
          <w:rFonts w:ascii="ArialMT" w:hAnsi="ArialMT" w:cs="ArialMT"/>
          <w:strike/>
        </w:rPr>
        <w:t>capabilities and their social and economic conditions.” Since then, the CBDR-RC principle has guided the UN climate negotiations.” (IPCC-2018)</w:t>
      </w:r>
    </w:p>
    <w:p w14:paraId="72831591" w14:textId="29DF54FD" w:rsidR="00B17CB6" w:rsidRDefault="00B17CB6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</w:rPr>
      </w:pPr>
    </w:p>
    <w:p w14:paraId="77CC2461" w14:textId="77777777" w:rsidR="00B17CB6" w:rsidRPr="00B17CB6" w:rsidRDefault="00B17CB6" w:rsidP="00B17C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</w:rPr>
      </w:pPr>
    </w:p>
    <w:sectPr w:rsidR="00B17CB6" w:rsidRPr="00B1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FD9D" w14:textId="77777777" w:rsidR="00F25FDD" w:rsidRDefault="00F25FDD" w:rsidP="00D0402B">
      <w:pPr>
        <w:spacing w:after="0" w:line="240" w:lineRule="auto"/>
      </w:pPr>
      <w:r>
        <w:separator/>
      </w:r>
    </w:p>
  </w:endnote>
  <w:endnote w:type="continuationSeparator" w:id="0">
    <w:p w14:paraId="08052C48" w14:textId="77777777" w:rsidR="00F25FDD" w:rsidRDefault="00F25FDD" w:rsidP="00D0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B23A" w14:textId="77777777" w:rsidR="00F25FDD" w:rsidRDefault="00F25FDD" w:rsidP="00D0402B">
      <w:pPr>
        <w:spacing w:after="0" w:line="240" w:lineRule="auto"/>
      </w:pPr>
      <w:r>
        <w:separator/>
      </w:r>
    </w:p>
  </w:footnote>
  <w:footnote w:type="continuationSeparator" w:id="0">
    <w:p w14:paraId="054AEAFB" w14:textId="77777777" w:rsidR="00F25FDD" w:rsidRDefault="00F25FDD" w:rsidP="00D04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2B"/>
    <w:rsid w:val="001767DA"/>
    <w:rsid w:val="00226523"/>
    <w:rsid w:val="002C17E3"/>
    <w:rsid w:val="00B17CB6"/>
    <w:rsid w:val="00CE069D"/>
    <w:rsid w:val="00D0402B"/>
    <w:rsid w:val="00F25FDD"/>
    <w:rsid w:val="00F3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68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40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23"/>
  </w:style>
  <w:style w:type="paragraph" w:styleId="Footer">
    <w:name w:val="footer"/>
    <w:basedOn w:val="Normal"/>
    <w:link w:val="FooterChar"/>
    <w:uiPriority w:val="99"/>
    <w:unhideWhenUsed/>
    <w:rsid w:val="00F36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1856</Characters>
  <Application>Microsoft Office Word</Application>
  <DocSecurity>4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2023-01-27T15:56:00Z</dcterms:created>
  <dcterms:modified xsi:type="dcterms:W3CDTF">2023-01-27T15:56:00Z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DB9C6D4DF33746268660135C0FB92AAB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AC260929F05CDCEBC3888ABA5A43D9D87B0FB830</vt:lpwstr>
  </property>
  <property fmtid="{D5CDD505-2E9C-101B-9397-08002B2CF9AE}" pid="11" name="PM_OriginationTimeStamp">
    <vt:lpwstr>2023-01-27T15:22:29Z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D4569490BF1ECC264329C4275894E3B8</vt:lpwstr>
  </property>
  <property fmtid="{D5CDD505-2E9C-101B-9397-08002B2CF9AE}" pid="23" name="PM_Hash_Salt">
    <vt:lpwstr>D4569490BF1ECC264329C4275894E3B8</vt:lpwstr>
  </property>
  <property fmtid="{D5CDD505-2E9C-101B-9397-08002B2CF9AE}" pid="24" name="PM_Hash_SHA1">
    <vt:lpwstr>82B6C746EB0F524A6D271763CB0C43F5C911DF9C</vt:lpwstr>
  </property>
  <property fmtid="{D5CDD505-2E9C-101B-9397-08002B2CF9AE}" pid="25" name="PM_OriginatorUserAccountName_SHA256">
    <vt:lpwstr>56E017B4E59621DB11F54D87F343092C9FF7DEA4D4188455A9D83E8AC77D4E0F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</Properties>
</file>