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E7D" w:rsidRDefault="00F44E7D" w:rsidP="00F44E7D">
      <w:pPr>
        <w:spacing w:after="240"/>
      </w:pPr>
    </w:p>
    <w:p w:rsidR="00F44E7D" w:rsidRDefault="00F44E7D" w:rsidP="00F44E7D">
      <w:pPr>
        <w:jc w:val="center"/>
        <w:rPr>
          <w:sz w:val="18"/>
          <w:szCs w:val="18"/>
        </w:rPr>
      </w:pPr>
      <w:r>
        <w:rPr>
          <w:b/>
          <w:bCs/>
          <w:noProof/>
          <w:sz w:val="27"/>
          <w:szCs w:val="27"/>
        </w:rPr>
        <w:drawing>
          <wp:inline distT="0" distB="0" distL="0" distR="0">
            <wp:extent cx="4031682" cy="4546742"/>
            <wp:effectExtent l="0" t="0" r="6985" b="6350"/>
            <wp:docPr id="3" name="Picture 3"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036159" cy="4551791"/>
                    </a:xfrm>
                    <a:prstGeom prst="rect">
                      <a:avLst/>
                    </a:prstGeom>
                    <a:noFill/>
                    <a:ln>
                      <a:noFill/>
                    </a:ln>
                  </pic:spPr>
                </pic:pic>
              </a:graphicData>
            </a:graphic>
          </wp:inline>
        </w:drawing>
      </w:r>
    </w:p>
    <w:p w:rsidR="00F44E7D" w:rsidRDefault="00F44E7D" w:rsidP="00F44E7D">
      <w:pPr>
        <w:jc w:val="center"/>
        <w:rPr>
          <w:rStyle w:val="Strong"/>
          <w:color w:val="38761D"/>
          <w:sz w:val="27"/>
          <w:szCs w:val="27"/>
        </w:rPr>
      </w:pPr>
    </w:p>
    <w:p w:rsidR="00F44E7D" w:rsidRDefault="00F44E7D" w:rsidP="00F44E7D">
      <w:pPr>
        <w:jc w:val="center"/>
        <w:rPr>
          <w:sz w:val="18"/>
          <w:szCs w:val="18"/>
        </w:rPr>
      </w:pPr>
      <w:r>
        <w:rPr>
          <w:rStyle w:val="Strong"/>
          <w:color w:val="38761D"/>
          <w:sz w:val="27"/>
          <w:szCs w:val="27"/>
        </w:rPr>
        <w:t>Cultural Heritage &amp; AR6: Improving the Treatment of Cultural Heritage in the Next IPCC Assessment Report</w:t>
      </w:r>
    </w:p>
    <w:p w:rsidR="00F44E7D" w:rsidRDefault="00F44E7D" w:rsidP="00F44E7D">
      <w:pPr>
        <w:jc w:val="center"/>
        <w:rPr>
          <w:sz w:val="18"/>
          <w:szCs w:val="18"/>
        </w:rPr>
      </w:pPr>
    </w:p>
    <w:p w:rsidR="00F44E7D" w:rsidRDefault="00F44E7D" w:rsidP="00F44E7D">
      <w:pPr>
        <w:jc w:val="center"/>
        <w:rPr>
          <w:sz w:val="18"/>
          <w:szCs w:val="18"/>
        </w:rPr>
      </w:pPr>
      <w:r>
        <w:rPr>
          <w:b/>
          <w:bCs/>
          <w:color w:val="38761D"/>
          <w:sz w:val="48"/>
          <w:szCs w:val="48"/>
        </w:rPr>
        <w:t>TUESDAY, 1 DECEMBER 2015</w:t>
      </w:r>
    </w:p>
    <w:p w:rsidR="00F44E7D" w:rsidRPr="00F44E7D" w:rsidRDefault="00F44E7D" w:rsidP="00F44E7D">
      <w:pPr>
        <w:jc w:val="center"/>
        <w:rPr>
          <w:b/>
          <w:bCs/>
          <w:sz w:val="27"/>
          <w:szCs w:val="27"/>
        </w:rPr>
      </w:pPr>
      <w:r>
        <w:rPr>
          <w:b/>
          <w:bCs/>
          <w:sz w:val="27"/>
          <w:szCs w:val="27"/>
        </w:rPr>
        <w:t>Roundtable and Discussion • </w:t>
      </w:r>
      <w:r>
        <w:rPr>
          <w:rFonts w:ascii="Arial" w:hAnsi="Arial" w:cs="Arial"/>
          <w:b/>
          <w:bCs/>
          <w:color w:val="000000"/>
          <w:sz w:val="27"/>
          <w:szCs w:val="27"/>
        </w:rPr>
        <w:t>16h30</w:t>
      </w:r>
      <w:r>
        <w:rPr>
          <w:b/>
          <w:bCs/>
          <w:sz w:val="27"/>
          <w:szCs w:val="27"/>
        </w:rPr>
        <w:t> – 1</w:t>
      </w:r>
      <w:r>
        <w:rPr>
          <w:rFonts w:ascii="Arial" w:hAnsi="Arial" w:cs="Arial"/>
          <w:b/>
          <w:bCs/>
          <w:color w:val="000000"/>
          <w:sz w:val="27"/>
          <w:szCs w:val="27"/>
        </w:rPr>
        <w:t>8</w:t>
      </w:r>
      <w:r>
        <w:rPr>
          <w:b/>
          <w:bCs/>
          <w:sz w:val="27"/>
          <w:szCs w:val="27"/>
        </w:rPr>
        <w:t>h30</w:t>
      </w:r>
    </w:p>
    <w:p w:rsidR="00F44E7D" w:rsidRPr="00F44E7D" w:rsidRDefault="00F44E7D" w:rsidP="00F44E7D">
      <w:pPr>
        <w:jc w:val="center"/>
        <w:rPr>
          <w:b/>
          <w:bCs/>
          <w:sz w:val="27"/>
          <w:szCs w:val="27"/>
        </w:rPr>
      </w:pPr>
      <w:r>
        <w:rPr>
          <w:b/>
          <w:bCs/>
          <w:sz w:val="27"/>
          <w:szCs w:val="27"/>
        </w:rPr>
        <w:t>Reception and Networking Event • 18h</w:t>
      </w:r>
      <w:r w:rsidRPr="00F44E7D">
        <w:rPr>
          <w:rFonts w:ascii="Arial" w:hAnsi="Arial" w:cs="Arial"/>
          <w:b/>
          <w:bCs/>
          <w:color w:val="000000"/>
          <w:sz w:val="27"/>
          <w:szCs w:val="27"/>
        </w:rPr>
        <w:t>30​</w:t>
      </w:r>
      <w:r w:rsidRPr="00F44E7D">
        <w:rPr>
          <w:b/>
          <w:bCs/>
          <w:sz w:val="27"/>
          <w:szCs w:val="27"/>
        </w:rPr>
        <w:t>– 19h30 </w:t>
      </w:r>
    </w:p>
    <w:p w:rsidR="00F44E7D" w:rsidRPr="00F44E7D" w:rsidRDefault="00F44E7D" w:rsidP="00F44E7D">
      <w:pPr>
        <w:jc w:val="center"/>
        <w:rPr>
          <w:sz w:val="18"/>
          <w:szCs w:val="18"/>
        </w:rPr>
      </w:pPr>
    </w:p>
    <w:p w:rsidR="00F44E7D" w:rsidRPr="00F44E7D" w:rsidRDefault="00F44E7D" w:rsidP="00F44E7D">
      <w:pPr>
        <w:jc w:val="center"/>
        <w:rPr>
          <w:sz w:val="18"/>
          <w:szCs w:val="18"/>
          <w:lang w:val="fr-FR"/>
        </w:rPr>
      </w:pPr>
      <w:r w:rsidRPr="00F44E7D">
        <w:rPr>
          <w:b/>
          <w:bCs/>
          <w:color w:val="38761D"/>
          <w:sz w:val="27"/>
          <w:szCs w:val="27"/>
          <w:lang w:val="fr-FR"/>
        </w:rPr>
        <w:t xml:space="preserve">La Maison </w:t>
      </w:r>
      <w:proofErr w:type="spellStart"/>
      <w:r w:rsidRPr="00F44E7D">
        <w:rPr>
          <w:b/>
          <w:bCs/>
          <w:color w:val="38761D"/>
          <w:sz w:val="27"/>
          <w:szCs w:val="27"/>
          <w:lang w:val="fr-FR"/>
        </w:rPr>
        <w:t>Champs-Elysees</w:t>
      </w:r>
      <w:proofErr w:type="spellEnd"/>
    </w:p>
    <w:p w:rsidR="00F44E7D" w:rsidRPr="00F44E7D" w:rsidRDefault="00F44E7D" w:rsidP="00F44E7D">
      <w:pPr>
        <w:jc w:val="center"/>
        <w:rPr>
          <w:sz w:val="18"/>
          <w:szCs w:val="18"/>
          <w:lang w:val="fr-FR"/>
        </w:rPr>
      </w:pPr>
      <w:r w:rsidRPr="00F44E7D">
        <w:rPr>
          <w:b/>
          <w:bCs/>
          <w:sz w:val="18"/>
          <w:szCs w:val="18"/>
          <w:lang w:val="fr-FR"/>
        </w:rPr>
        <w:t>8 rue Jean Goujon, 75008 Paris (</w:t>
      </w:r>
      <w:proofErr w:type="spellStart"/>
      <w:r w:rsidRPr="00F44E7D">
        <w:rPr>
          <w:b/>
          <w:bCs/>
          <w:sz w:val="18"/>
          <w:szCs w:val="18"/>
          <w:lang w:val="fr-FR"/>
        </w:rPr>
        <w:t>near</w:t>
      </w:r>
      <w:proofErr w:type="spellEnd"/>
      <w:r w:rsidRPr="00F44E7D">
        <w:rPr>
          <w:b/>
          <w:bCs/>
          <w:sz w:val="18"/>
          <w:szCs w:val="18"/>
          <w:lang w:val="fr-FR"/>
        </w:rPr>
        <w:t xml:space="preserve"> the Grand Palais)</w:t>
      </w:r>
    </w:p>
    <w:p w:rsidR="00F44E7D" w:rsidRPr="00F44E7D" w:rsidRDefault="00F44E7D" w:rsidP="00F44E7D">
      <w:pPr>
        <w:jc w:val="center"/>
        <w:rPr>
          <w:sz w:val="18"/>
          <w:szCs w:val="18"/>
          <w:lang w:val="fr-FR"/>
        </w:rPr>
      </w:pPr>
    </w:p>
    <w:p w:rsidR="00F44E7D" w:rsidRDefault="00F44E7D" w:rsidP="00F44E7D">
      <w:pPr>
        <w:jc w:val="center"/>
        <w:rPr>
          <w:sz w:val="18"/>
          <w:szCs w:val="18"/>
        </w:rPr>
      </w:pPr>
      <w:r>
        <w:rPr>
          <w:i/>
          <w:iCs/>
          <w:sz w:val="18"/>
          <w:szCs w:val="18"/>
        </w:rPr>
        <w:t xml:space="preserve">Directions from Le Bourget: Take RER B to </w:t>
      </w:r>
      <w:proofErr w:type="spellStart"/>
      <w:r>
        <w:rPr>
          <w:i/>
          <w:iCs/>
          <w:sz w:val="18"/>
          <w:szCs w:val="18"/>
        </w:rPr>
        <w:t>Châtelet</w:t>
      </w:r>
      <w:proofErr w:type="spellEnd"/>
      <w:r>
        <w:rPr>
          <w:i/>
          <w:iCs/>
          <w:sz w:val="18"/>
          <w:szCs w:val="18"/>
        </w:rPr>
        <w:t xml:space="preserve">-Les </w:t>
      </w:r>
      <w:proofErr w:type="spellStart"/>
      <w:r>
        <w:rPr>
          <w:i/>
          <w:iCs/>
          <w:sz w:val="18"/>
          <w:szCs w:val="18"/>
        </w:rPr>
        <w:t>Halles</w:t>
      </w:r>
      <w:proofErr w:type="spellEnd"/>
      <w:r>
        <w:rPr>
          <w:i/>
          <w:iCs/>
          <w:sz w:val="18"/>
          <w:szCs w:val="18"/>
        </w:rPr>
        <w:t xml:space="preserve">, </w:t>
      </w:r>
      <w:proofErr w:type="gramStart"/>
      <w:r>
        <w:rPr>
          <w:i/>
          <w:iCs/>
          <w:sz w:val="18"/>
          <w:szCs w:val="18"/>
        </w:rPr>
        <w:t>transfer</w:t>
      </w:r>
      <w:proofErr w:type="gramEnd"/>
      <w:r>
        <w:rPr>
          <w:i/>
          <w:iCs/>
          <w:sz w:val="18"/>
          <w:szCs w:val="18"/>
        </w:rPr>
        <w:t xml:space="preserve"> to Paris </w:t>
      </w:r>
      <w:proofErr w:type="spellStart"/>
      <w:r>
        <w:rPr>
          <w:i/>
          <w:iCs/>
          <w:sz w:val="18"/>
          <w:szCs w:val="18"/>
        </w:rPr>
        <w:t>Métro</w:t>
      </w:r>
      <w:proofErr w:type="spellEnd"/>
      <w:r>
        <w:rPr>
          <w:i/>
          <w:iCs/>
          <w:sz w:val="18"/>
          <w:szCs w:val="18"/>
        </w:rPr>
        <w:t xml:space="preserve"> Line 1 in the direction of La </w:t>
      </w:r>
      <w:proofErr w:type="spellStart"/>
      <w:r>
        <w:rPr>
          <w:i/>
          <w:iCs/>
          <w:sz w:val="18"/>
          <w:szCs w:val="18"/>
        </w:rPr>
        <w:t>Défense</w:t>
      </w:r>
      <w:proofErr w:type="spellEnd"/>
      <w:r>
        <w:rPr>
          <w:i/>
          <w:iCs/>
          <w:sz w:val="18"/>
          <w:szCs w:val="18"/>
        </w:rPr>
        <w:t>–Grande Arche. Exit at Champs-Élysées-Clemenceau.</w:t>
      </w:r>
    </w:p>
    <w:p w:rsidR="00F44E7D" w:rsidRDefault="00F44E7D" w:rsidP="00F44E7D">
      <w:pPr>
        <w:jc w:val="center"/>
        <w:rPr>
          <w:sz w:val="18"/>
          <w:szCs w:val="18"/>
        </w:rPr>
      </w:pPr>
    </w:p>
    <w:p w:rsidR="00F44E7D" w:rsidRDefault="00F44E7D" w:rsidP="00F44E7D">
      <w:pPr>
        <w:jc w:val="center"/>
        <w:rPr>
          <w:sz w:val="18"/>
          <w:szCs w:val="18"/>
        </w:rPr>
      </w:pPr>
      <w:r>
        <w:rPr>
          <w:b/>
          <w:bCs/>
          <w:sz w:val="18"/>
          <w:szCs w:val="18"/>
        </w:rPr>
        <w:t>Culture Heritage is both impacted by Climate Change and a source of Resiliency, but the relationships are not well understood. </w:t>
      </w:r>
      <w:r>
        <w:rPr>
          <w:sz w:val="18"/>
          <w:szCs w:val="18"/>
        </w:rPr>
        <w:t>The IPCC Fifth Assessment Report (AR5), for example states that “impacts, such as loss of... cultural heritage, and ecosystem services, are difficult to value and monetize, and thus they are poorly reflected in estimates of losses.” We will examine how to improve the treatment of cultural heritage in the AR6 through new collaboration among interested organizations within the framework of expanding engagement by heritage of climate issues.</w:t>
      </w:r>
    </w:p>
    <w:p w:rsidR="00F44E7D" w:rsidRDefault="00F44E7D" w:rsidP="00F44E7D">
      <w:pPr>
        <w:rPr>
          <w:sz w:val="18"/>
          <w:szCs w:val="18"/>
        </w:rPr>
      </w:pPr>
      <w:bookmarkStart w:id="0" w:name="_GoBack"/>
      <w:bookmarkEnd w:id="0"/>
    </w:p>
    <w:p w:rsidR="00F44E7D" w:rsidRDefault="00F44E7D" w:rsidP="00F44E7D">
      <w:pPr>
        <w:jc w:val="center"/>
        <w:rPr>
          <w:sz w:val="18"/>
          <w:szCs w:val="18"/>
        </w:rPr>
      </w:pPr>
    </w:p>
    <w:p w:rsidR="00F44E7D" w:rsidRDefault="00F44E7D" w:rsidP="00F44E7D">
      <w:pPr>
        <w:jc w:val="center"/>
        <w:rPr>
          <w:sz w:val="18"/>
          <w:szCs w:val="18"/>
        </w:rPr>
      </w:pPr>
    </w:p>
    <w:p w:rsidR="00F44E7D" w:rsidRDefault="00F44E7D" w:rsidP="00F44E7D">
      <w:pPr>
        <w:jc w:val="center"/>
        <w:rPr>
          <w:sz w:val="18"/>
          <w:szCs w:val="18"/>
        </w:rPr>
      </w:pPr>
      <w:r>
        <w:rPr>
          <w:noProof/>
          <w:sz w:val="18"/>
          <w:szCs w:val="18"/>
        </w:rPr>
        <w:drawing>
          <wp:inline distT="0" distB="0" distL="0" distR="0">
            <wp:extent cx="4286250" cy="209550"/>
            <wp:effectExtent l="0" t="0" r="0" b="0"/>
            <wp:docPr id="2" name="Picture 2" descr="Inline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286250" cy="209550"/>
                    </a:xfrm>
                    <a:prstGeom prst="rect">
                      <a:avLst/>
                    </a:prstGeom>
                    <a:noFill/>
                    <a:ln>
                      <a:noFill/>
                    </a:ln>
                  </pic:spPr>
                </pic:pic>
              </a:graphicData>
            </a:graphic>
          </wp:inline>
        </w:drawing>
      </w:r>
    </w:p>
    <w:p w:rsidR="00F44E7D" w:rsidRDefault="00F44E7D" w:rsidP="00F44E7D">
      <w:pPr>
        <w:jc w:val="center"/>
        <w:rPr>
          <w:sz w:val="18"/>
          <w:szCs w:val="18"/>
        </w:rPr>
      </w:pPr>
    </w:p>
    <w:p w:rsidR="00F44E7D" w:rsidRDefault="00F44E7D" w:rsidP="00F44E7D">
      <w:pPr>
        <w:jc w:val="center"/>
        <w:rPr>
          <w:sz w:val="18"/>
          <w:szCs w:val="18"/>
        </w:rPr>
      </w:pPr>
      <w:r>
        <w:rPr>
          <w:b/>
          <w:bCs/>
          <w:sz w:val="18"/>
          <w:szCs w:val="18"/>
        </w:rPr>
        <w:t>Dr. David Harvey</w:t>
      </w:r>
    </w:p>
    <w:p w:rsidR="00F44E7D" w:rsidRDefault="00F44E7D" w:rsidP="00F44E7D">
      <w:pPr>
        <w:spacing w:after="240"/>
        <w:jc w:val="center"/>
        <w:rPr>
          <w:sz w:val="18"/>
          <w:szCs w:val="18"/>
        </w:rPr>
      </w:pPr>
      <w:r>
        <w:rPr>
          <w:sz w:val="18"/>
          <w:szCs w:val="18"/>
        </w:rPr>
        <w:t>Professor of Historical Cultural Geography, University of Exeter</w:t>
      </w:r>
    </w:p>
    <w:p w:rsidR="00F44E7D" w:rsidRDefault="00F44E7D" w:rsidP="00F44E7D">
      <w:pPr>
        <w:jc w:val="center"/>
        <w:rPr>
          <w:sz w:val="18"/>
          <w:szCs w:val="18"/>
        </w:rPr>
      </w:pPr>
      <w:r>
        <w:rPr>
          <w:b/>
          <w:bCs/>
          <w:sz w:val="18"/>
          <w:szCs w:val="18"/>
        </w:rPr>
        <w:t>Mr. Keith Jones</w:t>
      </w:r>
    </w:p>
    <w:p w:rsidR="00F44E7D" w:rsidRDefault="00F44E7D" w:rsidP="00F44E7D">
      <w:pPr>
        <w:spacing w:after="240"/>
        <w:jc w:val="center"/>
        <w:rPr>
          <w:sz w:val="18"/>
          <w:szCs w:val="18"/>
        </w:rPr>
      </w:pPr>
      <w:r>
        <w:rPr>
          <w:sz w:val="18"/>
          <w:szCs w:val="18"/>
        </w:rPr>
        <w:t>Environmental Adviser, National Trust Wales </w:t>
      </w:r>
    </w:p>
    <w:p w:rsidR="00F44E7D" w:rsidRDefault="00F44E7D" w:rsidP="00F44E7D">
      <w:pPr>
        <w:jc w:val="center"/>
        <w:rPr>
          <w:sz w:val="18"/>
          <w:szCs w:val="18"/>
        </w:rPr>
      </w:pPr>
      <w:r>
        <w:rPr>
          <w:b/>
          <w:bCs/>
          <w:sz w:val="18"/>
          <w:szCs w:val="18"/>
        </w:rPr>
        <w:t>Dr. Katharine J. Mach</w:t>
      </w:r>
    </w:p>
    <w:p w:rsidR="00F44E7D" w:rsidRDefault="00F44E7D" w:rsidP="00F44E7D">
      <w:pPr>
        <w:spacing w:after="240"/>
        <w:jc w:val="center"/>
        <w:rPr>
          <w:sz w:val="18"/>
          <w:szCs w:val="18"/>
        </w:rPr>
      </w:pPr>
      <w:r>
        <w:rPr>
          <w:sz w:val="18"/>
          <w:szCs w:val="18"/>
        </w:rPr>
        <w:t>Director, Science, IPCC Working Group II Technical Support Unit </w:t>
      </w:r>
    </w:p>
    <w:p w:rsidR="00F44E7D" w:rsidRDefault="00F44E7D" w:rsidP="00F44E7D">
      <w:pPr>
        <w:jc w:val="center"/>
        <w:rPr>
          <w:sz w:val="18"/>
          <w:szCs w:val="18"/>
        </w:rPr>
      </w:pPr>
      <w:r>
        <w:rPr>
          <w:b/>
          <w:bCs/>
          <w:sz w:val="18"/>
          <w:szCs w:val="18"/>
        </w:rPr>
        <w:t>Mr. Oliver Maurice • </w:t>
      </w:r>
      <w:r>
        <w:rPr>
          <w:b/>
          <w:bCs/>
          <w:i/>
          <w:iCs/>
          <w:sz w:val="18"/>
          <w:szCs w:val="18"/>
        </w:rPr>
        <w:t>Co-Rapporteur</w:t>
      </w:r>
    </w:p>
    <w:p w:rsidR="00F44E7D" w:rsidRDefault="00F44E7D" w:rsidP="00F44E7D">
      <w:pPr>
        <w:spacing w:after="240"/>
        <w:jc w:val="center"/>
        <w:rPr>
          <w:sz w:val="18"/>
          <w:szCs w:val="18"/>
        </w:rPr>
      </w:pPr>
      <w:r>
        <w:rPr>
          <w:sz w:val="18"/>
          <w:szCs w:val="18"/>
        </w:rPr>
        <w:t xml:space="preserve">Director, International National Trusts </w:t>
      </w:r>
      <w:proofErr w:type="spellStart"/>
      <w:r>
        <w:rPr>
          <w:sz w:val="18"/>
          <w:szCs w:val="18"/>
        </w:rPr>
        <w:t>Organisation</w:t>
      </w:r>
      <w:proofErr w:type="spellEnd"/>
      <w:r>
        <w:rPr>
          <w:sz w:val="18"/>
          <w:szCs w:val="18"/>
        </w:rPr>
        <w:t xml:space="preserve"> (INTO) </w:t>
      </w:r>
    </w:p>
    <w:p w:rsidR="00F44E7D" w:rsidRDefault="00F44E7D" w:rsidP="00F44E7D">
      <w:pPr>
        <w:jc w:val="center"/>
        <w:rPr>
          <w:sz w:val="18"/>
          <w:szCs w:val="18"/>
        </w:rPr>
      </w:pPr>
      <w:r>
        <w:rPr>
          <w:b/>
          <w:bCs/>
          <w:sz w:val="18"/>
          <w:szCs w:val="18"/>
        </w:rPr>
        <w:t>Ms. Anika Molesworth</w:t>
      </w:r>
    </w:p>
    <w:p w:rsidR="00F44E7D" w:rsidRDefault="00F44E7D" w:rsidP="00F44E7D">
      <w:pPr>
        <w:jc w:val="center"/>
        <w:rPr>
          <w:sz w:val="18"/>
          <w:szCs w:val="18"/>
        </w:rPr>
      </w:pPr>
      <w:r>
        <w:rPr>
          <w:sz w:val="18"/>
          <w:szCs w:val="18"/>
        </w:rPr>
        <w:t>Coordinator, Sustainable Farms Initiative, </w:t>
      </w:r>
    </w:p>
    <w:p w:rsidR="00F44E7D" w:rsidRDefault="00F44E7D" w:rsidP="00F44E7D">
      <w:pPr>
        <w:spacing w:after="240"/>
        <w:jc w:val="center"/>
        <w:rPr>
          <w:sz w:val="18"/>
          <w:szCs w:val="18"/>
        </w:rPr>
      </w:pPr>
      <w:r>
        <w:rPr>
          <w:sz w:val="18"/>
          <w:szCs w:val="18"/>
        </w:rPr>
        <w:t xml:space="preserve">International National Trusts </w:t>
      </w:r>
      <w:proofErr w:type="spellStart"/>
      <w:r>
        <w:rPr>
          <w:sz w:val="18"/>
          <w:szCs w:val="18"/>
        </w:rPr>
        <w:t>Organisation</w:t>
      </w:r>
      <w:proofErr w:type="spellEnd"/>
      <w:r>
        <w:rPr>
          <w:sz w:val="18"/>
          <w:szCs w:val="18"/>
        </w:rPr>
        <w:t xml:space="preserve"> (INTO) </w:t>
      </w:r>
    </w:p>
    <w:p w:rsidR="00F44E7D" w:rsidRDefault="00F44E7D" w:rsidP="00F44E7D">
      <w:pPr>
        <w:jc w:val="center"/>
        <w:rPr>
          <w:sz w:val="18"/>
          <w:szCs w:val="18"/>
        </w:rPr>
      </w:pPr>
      <w:r>
        <w:rPr>
          <w:b/>
          <w:bCs/>
          <w:sz w:val="18"/>
          <w:szCs w:val="18"/>
        </w:rPr>
        <w:t>Ms. Anna Sidorenko</w:t>
      </w:r>
    </w:p>
    <w:p w:rsidR="00F44E7D" w:rsidRDefault="00F44E7D" w:rsidP="00F44E7D">
      <w:pPr>
        <w:jc w:val="center"/>
        <w:rPr>
          <w:sz w:val="18"/>
          <w:szCs w:val="18"/>
        </w:rPr>
      </w:pPr>
      <w:r>
        <w:rPr>
          <w:sz w:val="18"/>
          <w:szCs w:val="18"/>
        </w:rPr>
        <w:t>World Heritage Centre, UNESCO </w:t>
      </w:r>
    </w:p>
    <w:p w:rsidR="00F44E7D" w:rsidRDefault="00F44E7D" w:rsidP="00F44E7D">
      <w:pPr>
        <w:jc w:val="center"/>
        <w:rPr>
          <w:sz w:val="18"/>
          <w:szCs w:val="18"/>
        </w:rPr>
      </w:pPr>
    </w:p>
    <w:p w:rsidR="00F44E7D" w:rsidRDefault="00F44E7D" w:rsidP="00F44E7D">
      <w:pPr>
        <w:jc w:val="center"/>
        <w:rPr>
          <w:sz w:val="18"/>
          <w:szCs w:val="18"/>
        </w:rPr>
      </w:pPr>
      <w:r>
        <w:rPr>
          <w:b/>
          <w:bCs/>
          <w:sz w:val="18"/>
          <w:szCs w:val="18"/>
        </w:rPr>
        <w:t xml:space="preserve">Dr. </w:t>
      </w:r>
      <w:proofErr w:type="spellStart"/>
      <w:r>
        <w:rPr>
          <w:b/>
          <w:bCs/>
          <w:sz w:val="18"/>
          <w:szCs w:val="18"/>
        </w:rPr>
        <w:t>Youba</w:t>
      </w:r>
      <w:proofErr w:type="spellEnd"/>
      <w:r>
        <w:rPr>
          <w:b/>
          <w:bCs/>
          <w:sz w:val="18"/>
          <w:szCs w:val="18"/>
        </w:rPr>
        <w:t xml:space="preserve"> </w:t>
      </w:r>
      <w:proofErr w:type="spellStart"/>
      <w:r>
        <w:rPr>
          <w:b/>
          <w:bCs/>
          <w:sz w:val="18"/>
          <w:szCs w:val="18"/>
        </w:rPr>
        <w:t>Sokona</w:t>
      </w:r>
      <w:proofErr w:type="spellEnd"/>
      <w:r>
        <w:rPr>
          <w:b/>
          <w:bCs/>
          <w:sz w:val="18"/>
          <w:szCs w:val="18"/>
        </w:rPr>
        <w:br/>
      </w:r>
      <w:r>
        <w:rPr>
          <w:sz w:val="18"/>
          <w:szCs w:val="18"/>
        </w:rPr>
        <w:t xml:space="preserve">IPCC </w:t>
      </w:r>
      <w:proofErr w:type="gramStart"/>
      <w:r>
        <w:rPr>
          <w:sz w:val="18"/>
          <w:szCs w:val="18"/>
        </w:rPr>
        <w:t>Vice</w:t>
      </w:r>
      <w:proofErr w:type="gramEnd"/>
      <w:r>
        <w:rPr>
          <w:sz w:val="18"/>
          <w:szCs w:val="18"/>
        </w:rPr>
        <w:t xml:space="preserve"> Chair, Special Advisor on Sustainable Development, South Centre </w:t>
      </w:r>
    </w:p>
    <w:p w:rsidR="00F44E7D" w:rsidRDefault="00F44E7D" w:rsidP="00F44E7D">
      <w:pPr>
        <w:jc w:val="center"/>
        <w:rPr>
          <w:sz w:val="18"/>
          <w:szCs w:val="18"/>
        </w:rPr>
      </w:pPr>
    </w:p>
    <w:p w:rsidR="00F44E7D" w:rsidRDefault="00F44E7D" w:rsidP="00F44E7D">
      <w:pPr>
        <w:jc w:val="center"/>
        <w:rPr>
          <w:sz w:val="18"/>
          <w:szCs w:val="18"/>
        </w:rPr>
      </w:pPr>
      <w:r>
        <w:rPr>
          <w:b/>
          <w:bCs/>
          <w:sz w:val="18"/>
          <w:szCs w:val="18"/>
        </w:rPr>
        <w:t>Andrew Potts, JD • </w:t>
      </w:r>
      <w:r>
        <w:rPr>
          <w:b/>
          <w:bCs/>
          <w:i/>
          <w:iCs/>
          <w:sz w:val="18"/>
          <w:szCs w:val="18"/>
        </w:rPr>
        <w:t>Moderator and Co-Rapporteur</w:t>
      </w:r>
    </w:p>
    <w:p w:rsidR="00F44E7D" w:rsidRDefault="00F44E7D" w:rsidP="00F44E7D">
      <w:pPr>
        <w:jc w:val="center"/>
        <w:rPr>
          <w:sz w:val="18"/>
          <w:szCs w:val="18"/>
        </w:rPr>
      </w:pPr>
      <w:r>
        <w:rPr>
          <w:sz w:val="18"/>
          <w:szCs w:val="18"/>
        </w:rPr>
        <w:t>Executive Director, US/ICOMOS</w:t>
      </w:r>
    </w:p>
    <w:p w:rsidR="00F44E7D" w:rsidRDefault="00F44E7D" w:rsidP="00F44E7D">
      <w:pPr>
        <w:jc w:val="center"/>
        <w:rPr>
          <w:sz w:val="18"/>
          <w:szCs w:val="18"/>
        </w:rPr>
      </w:pPr>
    </w:p>
    <w:p w:rsidR="00F44E7D" w:rsidRDefault="00F44E7D" w:rsidP="00F44E7D">
      <w:pPr>
        <w:jc w:val="center"/>
        <w:rPr>
          <w:sz w:val="18"/>
          <w:szCs w:val="18"/>
        </w:rPr>
      </w:pPr>
      <w:r>
        <w:rPr>
          <w:sz w:val="18"/>
          <w:szCs w:val="18"/>
        </w:rPr>
        <w:t>The Reception/Networking Event is designed to bring together in one place all the folks attending COP21 working at the intersection of Climate Change and Heritage. </w:t>
      </w:r>
      <w:r>
        <w:rPr>
          <w:sz w:val="18"/>
          <w:szCs w:val="18"/>
        </w:rPr>
        <w:br/>
        <w:t>RSVPs appreciated but not required. Direct questions or RSVPs to </w:t>
      </w:r>
      <w:hyperlink r:id="rId9" w:tgtFrame="_blank" w:history="1">
        <w:r>
          <w:rPr>
            <w:rStyle w:val="Hyperlink"/>
            <w:b/>
            <w:bCs/>
            <w:sz w:val="18"/>
            <w:szCs w:val="18"/>
          </w:rPr>
          <w:t>cbanahan@usicomos.org</w:t>
        </w:r>
      </w:hyperlink>
    </w:p>
    <w:p w:rsidR="00F44E7D" w:rsidRDefault="00F44E7D" w:rsidP="00F44E7D">
      <w:pPr>
        <w:jc w:val="center"/>
        <w:rPr>
          <w:sz w:val="18"/>
          <w:szCs w:val="18"/>
        </w:rPr>
      </w:pPr>
    </w:p>
    <w:p w:rsidR="00F44E7D" w:rsidRDefault="00F44E7D" w:rsidP="00F44E7D">
      <w:pPr>
        <w:jc w:val="center"/>
        <w:rPr>
          <w:sz w:val="18"/>
          <w:szCs w:val="18"/>
        </w:rPr>
      </w:pPr>
      <w:r>
        <w:rPr>
          <w:noProof/>
          <w:sz w:val="18"/>
          <w:szCs w:val="18"/>
        </w:rPr>
        <w:drawing>
          <wp:inline distT="0" distB="0" distL="0" distR="0">
            <wp:extent cx="4286250" cy="1447800"/>
            <wp:effectExtent l="0" t="0" r="0" b="0"/>
            <wp:docPr id="1" name="Picture 1" descr="Inline 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line image 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286250" cy="1447800"/>
                    </a:xfrm>
                    <a:prstGeom prst="rect">
                      <a:avLst/>
                    </a:prstGeom>
                    <a:noFill/>
                    <a:ln>
                      <a:noFill/>
                    </a:ln>
                  </pic:spPr>
                </pic:pic>
              </a:graphicData>
            </a:graphic>
          </wp:inline>
        </w:drawing>
      </w:r>
    </w:p>
    <w:p w:rsidR="00F727A6" w:rsidRDefault="00F44E7D">
      <w:r>
        <w:br/>
      </w:r>
      <w:r>
        <w:br w:type="textWrapping" w:clear="all"/>
      </w:r>
    </w:p>
    <w:sectPr w:rsidR="00F727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E7D"/>
    <w:rsid w:val="00F44E7D"/>
    <w:rsid w:val="00F72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E7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4E7D"/>
    <w:rPr>
      <w:color w:val="0000FF"/>
      <w:u w:val="single"/>
    </w:rPr>
  </w:style>
  <w:style w:type="character" w:styleId="Strong">
    <w:name w:val="Strong"/>
    <w:basedOn w:val="DefaultParagraphFont"/>
    <w:uiPriority w:val="22"/>
    <w:qFormat/>
    <w:rsid w:val="00F44E7D"/>
    <w:rPr>
      <w:b/>
      <w:bCs/>
    </w:rPr>
  </w:style>
  <w:style w:type="paragraph" w:styleId="BalloonText">
    <w:name w:val="Balloon Text"/>
    <w:basedOn w:val="Normal"/>
    <w:link w:val="BalloonTextChar"/>
    <w:uiPriority w:val="99"/>
    <w:semiHidden/>
    <w:unhideWhenUsed/>
    <w:rsid w:val="00F44E7D"/>
    <w:rPr>
      <w:rFonts w:ascii="Tahoma" w:hAnsi="Tahoma" w:cs="Tahoma"/>
      <w:sz w:val="16"/>
      <w:szCs w:val="16"/>
    </w:rPr>
  </w:style>
  <w:style w:type="character" w:customStyle="1" w:styleId="BalloonTextChar">
    <w:name w:val="Balloon Text Char"/>
    <w:basedOn w:val="DefaultParagraphFont"/>
    <w:link w:val="BalloonText"/>
    <w:uiPriority w:val="99"/>
    <w:semiHidden/>
    <w:rsid w:val="00F44E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E7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4E7D"/>
    <w:rPr>
      <w:color w:val="0000FF"/>
      <w:u w:val="single"/>
    </w:rPr>
  </w:style>
  <w:style w:type="character" w:styleId="Strong">
    <w:name w:val="Strong"/>
    <w:basedOn w:val="DefaultParagraphFont"/>
    <w:uiPriority w:val="22"/>
    <w:qFormat/>
    <w:rsid w:val="00F44E7D"/>
    <w:rPr>
      <w:b/>
      <w:bCs/>
    </w:rPr>
  </w:style>
  <w:style w:type="paragraph" w:styleId="BalloonText">
    <w:name w:val="Balloon Text"/>
    <w:basedOn w:val="Normal"/>
    <w:link w:val="BalloonTextChar"/>
    <w:uiPriority w:val="99"/>
    <w:semiHidden/>
    <w:unhideWhenUsed/>
    <w:rsid w:val="00F44E7D"/>
    <w:rPr>
      <w:rFonts w:ascii="Tahoma" w:hAnsi="Tahoma" w:cs="Tahoma"/>
      <w:sz w:val="16"/>
      <w:szCs w:val="16"/>
    </w:rPr>
  </w:style>
  <w:style w:type="character" w:customStyle="1" w:styleId="BalloonTextChar">
    <w:name w:val="Balloon Text Char"/>
    <w:basedOn w:val="DefaultParagraphFont"/>
    <w:link w:val="BalloonText"/>
    <w:uiPriority w:val="99"/>
    <w:semiHidden/>
    <w:rsid w:val="00F44E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85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i_1512c6eb8ad7d31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i_1512c6d3750d66f8" TargetMode="External"/><Relationship Id="rId11" Type="http://schemas.openxmlformats.org/officeDocument/2006/relationships/image" Target="cid:ii_1512c70937c71389" TargetMode="Externa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tocbanahan@usicomo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Susanna</dc:creator>
  <cp:lastModifiedBy>Kari, Susanna</cp:lastModifiedBy>
  <cp:revision>1</cp:revision>
  <dcterms:created xsi:type="dcterms:W3CDTF">2015-11-26T08:45:00Z</dcterms:created>
  <dcterms:modified xsi:type="dcterms:W3CDTF">2015-11-26T08:47:00Z</dcterms:modified>
</cp:coreProperties>
</file>